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E5" w:rsidRDefault="009860E5" w:rsidP="009860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 Nr.</w:t>
      </w:r>
      <w:r w:rsidR="004C59B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prie Lietuvos moksleivių krepšinio lygos 2016/2017 m. sezono nuostatų</w:t>
      </w:r>
    </w:p>
    <w:p w:rsidR="001D1D0D" w:rsidRPr="009860E5" w:rsidRDefault="00C46934" w:rsidP="00E6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E5">
        <w:rPr>
          <w:rFonts w:ascii="Times New Roman" w:hAnsi="Times New Roman" w:cs="Times New Roman"/>
          <w:b/>
          <w:sz w:val="24"/>
          <w:szCs w:val="24"/>
        </w:rPr>
        <w:t>Lietuvos moksleivių krepšinio lygos</w:t>
      </w:r>
    </w:p>
    <w:p w:rsidR="00C46934" w:rsidRPr="009860E5" w:rsidRDefault="00C46934" w:rsidP="00E6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E5">
        <w:rPr>
          <w:rFonts w:ascii="Times New Roman" w:hAnsi="Times New Roman" w:cs="Times New Roman"/>
          <w:b/>
          <w:sz w:val="24"/>
          <w:szCs w:val="24"/>
        </w:rPr>
        <w:t>A Diviziono finalinio ketverto organizatoriaus</w:t>
      </w:r>
    </w:p>
    <w:p w:rsidR="00C46934" w:rsidRPr="009860E5" w:rsidRDefault="00C46934" w:rsidP="00E6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E5">
        <w:rPr>
          <w:rFonts w:ascii="Times New Roman" w:hAnsi="Times New Roman" w:cs="Times New Roman"/>
          <w:b/>
          <w:sz w:val="24"/>
          <w:szCs w:val="24"/>
        </w:rPr>
        <w:t>Paraiška</w:t>
      </w:r>
      <w:r w:rsidR="00E6181B" w:rsidRPr="009860E5">
        <w:rPr>
          <w:rFonts w:ascii="Times New Roman" w:hAnsi="Times New Roman" w:cs="Times New Roman"/>
          <w:b/>
          <w:sz w:val="24"/>
          <w:szCs w:val="24"/>
        </w:rPr>
        <w:t xml:space="preserve"> vykdyti finalinį ketverto turnyrą</w:t>
      </w:r>
      <w:r w:rsidRPr="009860E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46934" w:rsidRPr="009860E5" w:rsidTr="00C46934">
        <w:tc>
          <w:tcPr>
            <w:tcW w:w="3209" w:type="dxa"/>
          </w:tcPr>
          <w:p w:rsidR="00C46934" w:rsidRPr="009860E5" w:rsidRDefault="00C46934" w:rsidP="00C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Krepšinio mokyklos pavadinimas</w:t>
            </w:r>
          </w:p>
        </w:tc>
        <w:tc>
          <w:tcPr>
            <w:tcW w:w="3209" w:type="dxa"/>
          </w:tcPr>
          <w:p w:rsidR="00C46934" w:rsidRPr="009860E5" w:rsidRDefault="00C46934" w:rsidP="00C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Salės adresas</w:t>
            </w:r>
          </w:p>
        </w:tc>
        <w:tc>
          <w:tcPr>
            <w:tcW w:w="3210" w:type="dxa"/>
          </w:tcPr>
          <w:p w:rsidR="00C46934" w:rsidRPr="009860E5" w:rsidRDefault="00C46934" w:rsidP="00C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46934" w:rsidRPr="009860E5" w:rsidTr="00C46934">
        <w:tc>
          <w:tcPr>
            <w:tcW w:w="3209" w:type="dxa"/>
            <w:vMerge w:val="restart"/>
            <w:vAlign w:val="center"/>
          </w:tcPr>
          <w:p w:rsidR="00C46934" w:rsidRPr="009860E5" w:rsidRDefault="00C46934" w:rsidP="00C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  <w:vAlign w:val="center"/>
          </w:tcPr>
          <w:p w:rsidR="00C46934" w:rsidRPr="009860E5" w:rsidRDefault="00C46934" w:rsidP="00C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</w:tr>
      <w:tr w:rsidR="00C46934" w:rsidRPr="009860E5" w:rsidTr="00C46934">
        <w:tc>
          <w:tcPr>
            <w:tcW w:w="3209" w:type="dxa"/>
            <w:vMerge/>
            <w:vAlign w:val="center"/>
          </w:tcPr>
          <w:p w:rsidR="00C46934" w:rsidRPr="009860E5" w:rsidRDefault="00C46934" w:rsidP="00C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</w:tr>
      <w:tr w:rsidR="00C46934" w:rsidRPr="009860E5" w:rsidTr="00C46934">
        <w:tc>
          <w:tcPr>
            <w:tcW w:w="3209" w:type="dxa"/>
            <w:vMerge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Kontaktinė informacija:</w:t>
            </w:r>
          </w:p>
        </w:tc>
      </w:tr>
      <w:tr w:rsidR="00C46934" w:rsidRPr="009860E5" w:rsidTr="00C46934">
        <w:tc>
          <w:tcPr>
            <w:tcW w:w="3209" w:type="dxa"/>
            <w:vMerge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C46934" w:rsidRPr="009860E5" w:rsidTr="00C46934">
        <w:tc>
          <w:tcPr>
            <w:tcW w:w="3209" w:type="dxa"/>
            <w:vMerge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46934" w:rsidRPr="009860E5" w:rsidRDefault="00C46934" w:rsidP="00C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46934" w:rsidRPr="009860E5" w:rsidRDefault="00C46934" w:rsidP="00C46934">
      <w:pPr>
        <w:rPr>
          <w:rFonts w:ascii="Times New Roman" w:hAnsi="Times New Roman" w:cs="Times New Roman"/>
          <w:sz w:val="24"/>
          <w:szCs w:val="24"/>
        </w:rPr>
      </w:pPr>
    </w:p>
    <w:p w:rsidR="00C46934" w:rsidRPr="009860E5" w:rsidRDefault="00C46934" w:rsidP="007C0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 xml:space="preserve">Šiuo raštu </w:t>
      </w:r>
      <w:r w:rsidR="007C0ED6" w:rsidRPr="009860E5">
        <w:rPr>
          <w:rFonts w:ascii="Times New Roman" w:hAnsi="Times New Roman" w:cs="Times New Roman"/>
          <w:sz w:val="24"/>
          <w:szCs w:val="24"/>
        </w:rPr>
        <w:t>prašome leisti</w:t>
      </w:r>
      <w:r w:rsidRPr="009860E5">
        <w:rPr>
          <w:rFonts w:ascii="Times New Roman" w:hAnsi="Times New Roman" w:cs="Times New Roman"/>
          <w:sz w:val="24"/>
          <w:szCs w:val="24"/>
        </w:rPr>
        <w:t xml:space="preserve"> organizuoti 2016/2017 m. Lietuvos moksleivių krepšinio lygos</w:t>
      </w:r>
    </w:p>
    <w:p w:rsidR="00C46934" w:rsidRPr="009860E5" w:rsidRDefault="00C46934" w:rsidP="00C46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46934" w:rsidRPr="009860E5" w:rsidRDefault="00C46934" w:rsidP="00C46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>(Nurodyti čempionatą)</w:t>
      </w:r>
    </w:p>
    <w:p w:rsidR="00C46934" w:rsidRPr="009860E5" w:rsidRDefault="00C46934" w:rsidP="00C46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>A Diviziono Finalinio ketverto turnyrą Lietuvos moksleivių krepšinio lygos nustatytomis datomis.</w:t>
      </w:r>
    </w:p>
    <w:p w:rsidR="007C0ED6" w:rsidRPr="009860E5" w:rsidRDefault="007C0ED6" w:rsidP="007C0ED6">
      <w:pPr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>Neprieštaraujame, kad tuo pačiu metu pagal sudarytą tvarkaraštį vyktų ir kito Lietuvos moksleivių krepšinio lygos nustatyto čempionato finalinis ketvertas.</w:t>
      </w:r>
    </w:p>
    <w:p w:rsidR="007C0ED6" w:rsidRPr="009860E5" w:rsidRDefault="00807CDF" w:rsidP="007C0ED6">
      <w:pPr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>Patvirtiname, kad užtikrinsime ir padengsime išlaidas šių paslaugų, (kurį užtikrinate pažymėkite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751D0C" w:rsidRPr="009860E5" w:rsidTr="004E4626">
        <w:tc>
          <w:tcPr>
            <w:tcW w:w="9628" w:type="dxa"/>
            <w:gridSpan w:val="2"/>
          </w:tcPr>
          <w:p w:rsidR="00751D0C" w:rsidRPr="009860E5" w:rsidRDefault="00751D0C" w:rsidP="007C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b/>
                <w:sz w:val="24"/>
                <w:szCs w:val="24"/>
              </w:rPr>
              <w:t>Techniniai reikalavimai:</w:t>
            </w:r>
          </w:p>
        </w:tc>
      </w:tr>
      <w:tr w:rsidR="00807CDF" w:rsidRPr="009860E5" w:rsidTr="009860E5">
        <w:tc>
          <w:tcPr>
            <w:tcW w:w="8784" w:type="dxa"/>
          </w:tcPr>
          <w:p w:rsidR="00807CDF" w:rsidRPr="009860E5" w:rsidRDefault="00807CDF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Rungtynių kokybiškus </w:t>
            </w:r>
            <w:proofErr w:type="spellStart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įrašus, kurie iš karto po finalinių rungtynių perduodami Organizatoriaus atstovui; (Nurodyti ir rungtynių skaičių)</w:t>
            </w:r>
          </w:p>
        </w:tc>
        <w:tc>
          <w:tcPr>
            <w:tcW w:w="844" w:type="dxa"/>
            <w:vAlign w:val="center"/>
          </w:tcPr>
          <w:p w:rsidR="00807CDF" w:rsidRPr="009860E5" w:rsidRDefault="00807CDF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F" w:rsidRPr="009860E5" w:rsidTr="009860E5">
        <w:tc>
          <w:tcPr>
            <w:tcW w:w="8784" w:type="dxa"/>
          </w:tcPr>
          <w:p w:rsidR="00807CDF" w:rsidRPr="009860E5" w:rsidRDefault="00807CDF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Kvalifikuoto sekretoriato darbą: sekretorius, </w:t>
            </w:r>
            <w:proofErr w:type="spellStart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laikininkas</w:t>
            </w:r>
            <w:proofErr w:type="spellEnd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, 24 sekundžių </w:t>
            </w:r>
            <w:proofErr w:type="spellStart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laikininkas</w:t>
            </w:r>
            <w:proofErr w:type="spellEnd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, statistikos operatoriai – iš viso ne mažiau 5 asmenų; (Nurodyti ir rungtynių skaičių)</w:t>
            </w:r>
          </w:p>
        </w:tc>
        <w:tc>
          <w:tcPr>
            <w:tcW w:w="844" w:type="dxa"/>
            <w:vAlign w:val="center"/>
          </w:tcPr>
          <w:p w:rsidR="00807CDF" w:rsidRPr="009860E5" w:rsidRDefault="00807CDF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F" w:rsidRPr="009860E5" w:rsidTr="009860E5">
        <w:tc>
          <w:tcPr>
            <w:tcW w:w="8784" w:type="dxa"/>
          </w:tcPr>
          <w:p w:rsidR="00807CDF" w:rsidRPr="009860E5" w:rsidRDefault="00AD400E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5B1E"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valifikuoto sekretoriato darbą su statistikos apdorojimo programa FIBA </w:t>
            </w:r>
            <w:proofErr w:type="spellStart"/>
            <w:r w:rsidR="00645B1E" w:rsidRPr="009860E5">
              <w:rPr>
                <w:rFonts w:ascii="Times New Roman" w:hAnsi="Times New Roman" w:cs="Times New Roman"/>
                <w:sz w:val="24"/>
                <w:szCs w:val="24"/>
              </w:rPr>
              <w:t>LiveStats</w:t>
            </w:r>
            <w:proofErr w:type="spellEnd"/>
            <w:r w:rsidR="00645B1E"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 bei galimybę transliuoti rungtynių eigą internete „gyvai“; (Nurodyti ir rungtynių skaičių)</w:t>
            </w:r>
          </w:p>
        </w:tc>
        <w:tc>
          <w:tcPr>
            <w:tcW w:w="844" w:type="dxa"/>
            <w:vAlign w:val="center"/>
          </w:tcPr>
          <w:p w:rsidR="00807CDF" w:rsidRPr="009860E5" w:rsidRDefault="00807CDF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F" w:rsidRPr="009860E5" w:rsidTr="009860E5">
        <w:tc>
          <w:tcPr>
            <w:tcW w:w="8784" w:type="dxa"/>
          </w:tcPr>
          <w:p w:rsidR="00807CDF" w:rsidRPr="009860E5" w:rsidRDefault="00645B1E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Kvalifikuoto medicinos bei techninio personalo darbą rungtynių metu (Nurodyti rungtynių skaičių)</w:t>
            </w:r>
          </w:p>
        </w:tc>
        <w:tc>
          <w:tcPr>
            <w:tcW w:w="844" w:type="dxa"/>
            <w:vAlign w:val="center"/>
          </w:tcPr>
          <w:p w:rsidR="00807CDF" w:rsidRPr="009860E5" w:rsidRDefault="00807CDF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F" w:rsidRPr="009860E5" w:rsidTr="009860E5">
        <w:tc>
          <w:tcPr>
            <w:tcW w:w="8784" w:type="dxa"/>
          </w:tcPr>
          <w:p w:rsidR="00807CDF" w:rsidRPr="009860E5" w:rsidRDefault="00645B1E" w:rsidP="0064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Užtikrinsime pagalbą atvykstančioms komandoms gyvenamąją vietą varžybų metu už prieinamą kainą. Apgyvendinimo išlaidas apmoka komandas komandiruojančios organizacijos (krepšinio (sporto) mokyklos, centrai bei klubai);</w:t>
            </w:r>
          </w:p>
        </w:tc>
        <w:tc>
          <w:tcPr>
            <w:tcW w:w="844" w:type="dxa"/>
            <w:vAlign w:val="center"/>
          </w:tcPr>
          <w:p w:rsidR="00807CDF" w:rsidRPr="009860E5" w:rsidRDefault="00807CDF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F" w:rsidRPr="009860E5" w:rsidTr="009860E5">
        <w:tc>
          <w:tcPr>
            <w:tcW w:w="8784" w:type="dxa"/>
          </w:tcPr>
          <w:p w:rsidR="00807CDF" w:rsidRPr="009860E5" w:rsidRDefault="00645B1E" w:rsidP="0064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Atvykstančių teisėjų sutikimas, saugumas prieš ir po rungtynių, persirengimo kambarys su dušu, geriamo vandens pateikimas teisėjams.</w:t>
            </w:r>
          </w:p>
        </w:tc>
        <w:tc>
          <w:tcPr>
            <w:tcW w:w="844" w:type="dxa"/>
            <w:vAlign w:val="center"/>
          </w:tcPr>
          <w:p w:rsidR="00807CDF" w:rsidRPr="009860E5" w:rsidRDefault="00807CDF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F" w:rsidRPr="009860E5" w:rsidTr="009860E5">
        <w:tc>
          <w:tcPr>
            <w:tcW w:w="8784" w:type="dxa"/>
          </w:tcPr>
          <w:p w:rsidR="00807CDF" w:rsidRPr="009860E5" w:rsidRDefault="00645B1E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Krepšinio salės parengimas, apšvietimas, tvarkos priežiūra, persirengimo kambarių ir dušų sutvarkymas.</w:t>
            </w:r>
          </w:p>
        </w:tc>
        <w:tc>
          <w:tcPr>
            <w:tcW w:w="844" w:type="dxa"/>
            <w:vAlign w:val="center"/>
          </w:tcPr>
          <w:p w:rsidR="00807CDF" w:rsidRPr="009860E5" w:rsidRDefault="00807CDF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F" w:rsidRPr="009860E5" w:rsidTr="009860E5">
        <w:tc>
          <w:tcPr>
            <w:tcW w:w="8784" w:type="dxa"/>
          </w:tcPr>
          <w:p w:rsidR="00807CDF" w:rsidRPr="009860E5" w:rsidRDefault="00AD400E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Varžybų dalyvių aprūpinimą geriamu oficialiu Lietuvos moksleivių krepšinio lygos vandeniu (9l. komandai per rungtynes).</w:t>
            </w:r>
          </w:p>
        </w:tc>
        <w:tc>
          <w:tcPr>
            <w:tcW w:w="844" w:type="dxa"/>
            <w:vAlign w:val="center"/>
          </w:tcPr>
          <w:p w:rsidR="00807CDF" w:rsidRPr="009860E5" w:rsidRDefault="00807CDF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9860E5" w:rsidTr="009860E5">
        <w:tc>
          <w:tcPr>
            <w:tcW w:w="8784" w:type="dxa"/>
          </w:tcPr>
          <w:p w:rsidR="00AD400E" w:rsidRPr="009860E5" w:rsidRDefault="00AD400E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Viešos tvarkos priežiūrą rungtynių metu (nurodyti rungtynių sk.)</w:t>
            </w:r>
          </w:p>
        </w:tc>
        <w:tc>
          <w:tcPr>
            <w:tcW w:w="844" w:type="dxa"/>
            <w:vAlign w:val="center"/>
          </w:tcPr>
          <w:p w:rsidR="00AD400E" w:rsidRPr="009860E5" w:rsidRDefault="00AD400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9860E5" w:rsidTr="009860E5">
        <w:tc>
          <w:tcPr>
            <w:tcW w:w="8784" w:type="dxa"/>
          </w:tcPr>
          <w:p w:rsidR="00AD400E" w:rsidRPr="009860E5" w:rsidRDefault="00AD400E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Dalyvių ir visų su renginiu susijusių asmenų daiktų saugumą rungtynių metu.</w:t>
            </w:r>
          </w:p>
        </w:tc>
        <w:tc>
          <w:tcPr>
            <w:tcW w:w="844" w:type="dxa"/>
            <w:vAlign w:val="center"/>
          </w:tcPr>
          <w:p w:rsidR="00AD400E" w:rsidRPr="009860E5" w:rsidRDefault="00AD400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9860E5" w:rsidTr="009860E5">
        <w:tc>
          <w:tcPr>
            <w:tcW w:w="8784" w:type="dxa"/>
          </w:tcPr>
          <w:p w:rsidR="00AD400E" w:rsidRPr="009860E5" w:rsidRDefault="00AD400E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Kokybišką garso sistemos veikimą komandų pristatymo, apšilimo prieš rungtynes ir po didžiosios pertraukos metu, finalinio apdovanojimo metu.</w:t>
            </w:r>
          </w:p>
        </w:tc>
        <w:tc>
          <w:tcPr>
            <w:tcW w:w="844" w:type="dxa"/>
            <w:vAlign w:val="center"/>
          </w:tcPr>
          <w:p w:rsidR="00AD400E" w:rsidRPr="009860E5" w:rsidRDefault="00AD400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9860E5" w:rsidTr="009860E5">
        <w:tc>
          <w:tcPr>
            <w:tcW w:w="8784" w:type="dxa"/>
          </w:tcPr>
          <w:p w:rsidR="00AD400E" w:rsidRPr="009860E5" w:rsidRDefault="00AD400E" w:rsidP="0075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Pagalbą Lietuvos moksleivių lygos atstovams pastatant ir nurenkan</w:t>
            </w:r>
            <w:r w:rsidR="00751D0C"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t reklaminius </w:t>
            </w: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lygos </w:t>
            </w:r>
            <w:r w:rsidR="00751D0C" w:rsidRPr="009860E5">
              <w:rPr>
                <w:rFonts w:ascii="Times New Roman" w:hAnsi="Times New Roman" w:cs="Times New Roman"/>
                <w:sz w:val="24"/>
                <w:szCs w:val="24"/>
              </w:rPr>
              <w:t>stendus ir kitokią reklamą</w:t>
            </w: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:rsidR="00AD400E" w:rsidRPr="009860E5" w:rsidRDefault="00AD400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9860E5" w:rsidTr="009860E5">
        <w:tc>
          <w:tcPr>
            <w:tcW w:w="8784" w:type="dxa"/>
          </w:tcPr>
          <w:p w:rsidR="00AD400E" w:rsidRPr="009860E5" w:rsidRDefault="00AD400E" w:rsidP="0075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Lietuvos moksleivių krepšinio lygai pareikalavus</w:t>
            </w:r>
            <w:r w:rsidR="00B83E89" w:rsidRPr="00986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pagalbą numontuojant turnyro laikotarpiu </w:t>
            </w:r>
            <w:r w:rsidR="00751D0C"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reklaminius ženklus, tų įmonių, kurie tiesioginiai </w:t>
            </w:r>
            <w:r w:rsidR="00B83E89"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konkuruoja su </w:t>
            </w:r>
            <w:r w:rsidR="00751D0C" w:rsidRPr="009860E5">
              <w:rPr>
                <w:rFonts w:ascii="Times New Roman" w:hAnsi="Times New Roman" w:cs="Times New Roman"/>
                <w:sz w:val="24"/>
                <w:szCs w:val="24"/>
              </w:rPr>
              <w:t>Lietuvos moksleivių krepšinio lygos konkurentai</w:t>
            </w:r>
            <w:r w:rsidR="00B83E89" w:rsidRPr="009860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1D0C" w:rsidRPr="00986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:rsidR="00AD400E" w:rsidRPr="009860E5" w:rsidRDefault="00AD400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9860E5" w:rsidTr="009860E5">
        <w:tc>
          <w:tcPr>
            <w:tcW w:w="8784" w:type="dxa"/>
          </w:tcPr>
          <w:p w:rsidR="00AD400E" w:rsidRPr="009860E5" w:rsidRDefault="00751D0C" w:rsidP="0045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Interneto ryšio prieigą ir kitą reikalingą pagalbą tech</w:t>
            </w:r>
            <w:r w:rsidR="004552AE" w:rsidRPr="009860E5">
              <w:rPr>
                <w:rFonts w:ascii="Times New Roman" w:hAnsi="Times New Roman" w:cs="Times New Roman"/>
                <w:sz w:val="24"/>
                <w:szCs w:val="24"/>
              </w:rPr>
              <w:t>ninėmis priemonėmis (prailgintuvai</w:t>
            </w: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, rozetės, vietos užtikrinimas, galimybė saugiai palikti daiktus) finalinio ketverto turnyrą filmuojančiai komandai.</w:t>
            </w:r>
          </w:p>
        </w:tc>
        <w:tc>
          <w:tcPr>
            <w:tcW w:w="844" w:type="dxa"/>
            <w:vAlign w:val="center"/>
          </w:tcPr>
          <w:p w:rsidR="00AD400E" w:rsidRPr="009860E5" w:rsidRDefault="00AD400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0C" w:rsidRPr="009860E5" w:rsidTr="009860E5">
        <w:tc>
          <w:tcPr>
            <w:tcW w:w="8784" w:type="dxa"/>
          </w:tcPr>
          <w:p w:rsidR="00751D0C" w:rsidRPr="009860E5" w:rsidRDefault="00751D0C" w:rsidP="007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Salės valytojų paslaugas (Pavalyti salę nukritus žaidėjui)</w:t>
            </w:r>
          </w:p>
        </w:tc>
        <w:tc>
          <w:tcPr>
            <w:tcW w:w="844" w:type="dxa"/>
            <w:vAlign w:val="center"/>
          </w:tcPr>
          <w:p w:rsidR="00751D0C" w:rsidRPr="009860E5" w:rsidRDefault="00751D0C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89" w:rsidRPr="009860E5" w:rsidTr="009860E5">
        <w:tc>
          <w:tcPr>
            <w:tcW w:w="8784" w:type="dxa"/>
          </w:tcPr>
          <w:p w:rsidR="00B83E89" w:rsidRPr="009860E5" w:rsidRDefault="00B83E89" w:rsidP="00B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Asmenį, kuris užtikrintų viešąją tvarką sporto salėje, kontroliuos žiūrovų elgesį varžybų vykdymo metu (prieš rungtynes, rungtynių metu ir rungtynėms pasibaigus) paslaugas;</w:t>
            </w:r>
          </w:p>
        </w:tc>
        <w:tc>
          <w:tcPr>
            <w:tcW w:w="844" w:type="dxa"/>
            <w:vAlign w:val="center"/>
          </w:tcPr>
          <w:p w:rsidR="00B83E89" w:rsidRPr="009860E5" w:rsidRDefault="00B83E89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DE" w:rsidRPr="009860E5" w:rsidTr="009860E5">
        <w:tc>
          <w:tcPr>
            <w:tcW w:w="8784" w:type="dxa"/>
          </w:tcPr>
          <w:p w:rsidR="002F2BDE" w:rsidRPr="009860E5" w:rsidRDefault="002F2BDE" w:rsidP="00B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Esant poreikiui, ploto išskyrimą Lietuvos moksleivių lygos reklaminiams stendams ir/ar prekybos vietoms įsikurti bei </w:t>
            </w:r>
            <w:proofErr w:type="spellStart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, pagalbą jų veikimui (elektra, apšvietimas, vietą saugoti daiktus,)</w:t>
            </w:r>
          </w:p>
        </w:tc>
        <w:tc>
          <w:tcPr>
            <w:tcW w:w="844" w:type="dxa"/>
            <w:vAlign w:val="center"/>
          </w:tcPr>
          <w:p w:rsidR="002F2BDE" w:rsidRPr="009860E5" w:rsidRDefault="002F2BD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AE" w:rsidRPr="009860E5" w:rsidTr="009860E5">
        <w:tc>
          <w:tcPr>
            <w:tcW w:w="8784" w:type="dxa"/>
          </w:tcPr>
          <w:p w:rsidR="004552AE" w:rsidRPr="009860E5" w:rsidRDefault="004552AE" w:rsidP="00B8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b/>
                <w:sz w:val="24"/>
                <w:szCs w:val="24"/>
              </w:rPr>
              <w:t>Reikalavimai informaciniai sklaidai</w:t>
            </w:r>
          </w:p>
        </w:tc>
        <w:tc>
          <w:tcPr>
            <w:tcW w:w="844" w:type="dxa"/>
            <w:vAlign w:val="center"/>
          </w:tcPr>
          <w:p w:rsidR="004552AE" w:rsidRPr="009860E5" w:rsidRDefault="004552A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AE" w:rsidRPr="009860E5" w:rsidTr="009860E5">
        <w:tc>
          <w:tcPr>
            <w:tcW w:w="8784" w:type="dxa"/>
          </w:tcPr>
          <w:p w:rsidR="004552AE" w:rsidRPr="009860E5" w:rsidRDefault="004552AE" w:rsidP="0045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Profesionalaus fotografo paslaugas (po 10 kokybiškų nuotraukų iš kiekvienų rungtynių) ir 10 kokybiškų nuotraukų iš apdovanojimų ceremonijos, kurios be autorystės ženklų būtų perduotos Lietuvos moksleivių krepšinio lygai per </w:t>
            </w:r>
            <w:proofErr w:type="spellStart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wetransfer</w:t>
            </w:r>
            <w:proofErr w:type="spellEnd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ne vėliau kaip 1 h. po finalinių rungtynių pabaigos.</w:t>
            </w:r>
          </w:p>
        </w:tc>
        <w:tc>
          <w:tcPr>
            <w:tcW w:w="844" w:type="dxa"/>
            <w:vAlign w:val="center"/>
          </w:tcPr>
          <w:p w:rsidR="004552AE" w:rsidRPr="009860E5" w:rsidRDefault="004552A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AE" w:rsidRPr="009860E5" w:rsidTr="009860E5">
        <w:tc>
          <w:tcPr>
            <w:tcW w:w="8784" w:type="dxa"/>
          </w:tcPr>
          <w:p w:rsidR="004552AE" w:rsidRPr="009860E5" w:rsidRDefault="004552AE" w:rsidP="00B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Mažiausiai 4 Lietuvos moksleivių lygos plakatų iškabinimą skirtingose vietose su finalinio ketverto turnyro tvarkaraščiais.</w:t>
            </w:r>
          </w:p>
        </w:tc>
        <w:tc>
          <w:tcPr>
            <w:tcW w:w="844" w:type="dxa"/>
            <w:vAlign w:val="center"/>
          </w:tcPr>
          <w:p w:rsidR="004552AE" w:rsidRPr="009860E5" w:rsidRDefault="004552A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AE" w:rsidRPr="009860E5" w:rsidTr="009860E5">
        <w:tc>
          <w:tcPr>
            <w:tcW w:w="8784" w:type="dxa"/>
          </w:tcPr>
          <w:p w:rsidR="004552AE" w:rsidRPr="009860E5" w:rsidRDefault="004552AE" w:rsidP="00B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Informacinę sklaidą apie finalinio ketverto turnyrą krepšinio mokyklos interneto, Facebook ir kituose socialiniuose tinkluose</w:t>
            </w:r>
            <w:r w:rsidR="00CE5A28" w:rsidRPr="00986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4552AE" w:rsidRPr="009860E5" w:rsidRDefault="004552A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28" w:rsidRPr="009860E5" w:rsidTr="009860E5">
        <w:tc>
          <w:tcPr>
            <w:tcW w:w="8784" w:type="dxa"/>
          </w:tcPr>
          <w:p w:rsidR="00CE5A28" w:rsidRPr="009860E5" w:rsidRDefault="00CE5A28" w:rsidP="00B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Informacinę sklaidą apie finalinio ketverto turnyrą vietos </w:t>
            </w:r>
            <w:proofErr w:type="spellStart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radijos</w:t>
            </w:r>
            <w:proofErr w:type="spellEnd"/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, spaudos ir interneto svetainėse.</w:t>
            </w:r>
          </w:p>
        </w:tc>
        <w:tc>
          <w:tcPr>
            <w:tcW w:w="844" w:type="dxa"/>
            <w:vAlign w:val="center"/>
          </w:tcPr>
          <w:p w:rsidR="00CE5A28" w:rsidRPr="009860E5" w:rsidRDefault="00CE5A28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28" w:rsidRPr="009860E5" w:rsidTr="009860E5">
        <w:tc>
          <w:tcPr>
            <w:tcW w:w="8784" w:type="dxa"/>
          </w:tcPr>
          <w:p w:rsidR="00CE5A28" w:rsidRPr="009860E5" w:rsidRDefault="00CE5A28" w:rsidP="00B8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b/>
                <w:sz w:val="24"/>
                <w:szCs w:val="24"/>
              </w:rPr>
              <w:t>Reikalavimai pramoginiai daliai</w:t>
            </w:r>
          </w:p>
        </w:tc>
        <w:tc>
          <w:tcPr>
            <w:tcW w:w="844" w:type="dxa"/>
            <w:vAlign w:val="center"/>
          </w:tcPr>
          <w:p w:rsidR="00CE5A28" w:rsidRPr="009860E5" w:rsidRDefault="00CE5A28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28" w:rsidRPr="009860E5" w:rsidTr="009860E5">
        <w:tc>
          <w:tcPr>
            <w:tcW w:w="8784" w:type="dxa"/>
          </w:tcPr>
          <w:p w:rsidR="00CE5A28" w:rsidRPr="009860E5" w:rsidRDefault="00CE5A28" w:rsidP="002F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Vaikų ir jaunimo kolektyvų pasirodymus</w:t>
            </w:r>
            <w:r w:rsidR="002F2BDE"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(arba kitą</w:t>
            </w: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su Li</w:t>
            </w:r>
            <w:r w:rsidR="002F2BDE" w:rsidRPr="009860E5">
              <w:rPr>
                <w:rFonts w:ascii="Times New Roman" w:hAnsi="Times New Roman" w:cs="Times New Roman"/>
                <w:sz w:val="24"/>
                <w:szCs w:val="24"/>
              </w:rPr>
              <w:t>etuvos moksleivių lyga suderintą</w:t>
            </w: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pramoginę programą</w:t>
            </w:r>
            <w:r w:rsidR="002F2BDE"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žiūrovams</w:t>
            </w: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) ir jiems</w:t>
            </w:r>
            <w:r w:rsidR="002F2BDE"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reikalingus </w:t>
            </w:r>
            <w:proofErr w:type="spellStart"/>
            <w:r w:rsidR="002F2BDE" w:rsidRPr="009860E5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="002F2BDE" w:rsidRPr="009860E5">
              <w:rPr>
                <w:rFonts w:ascii="Times New Roman" w:hAnsi="Times New Roman" w:cs="Times New Roman"/>
                <w:sz w:val="24"/>
                <w:szCs w:val="24"/>
              </w:rPr>
              <w:t>. reikalavimus</w:t>
            </w: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minutės pertraukėlių ir didžiosios pertraukos metu</w:t>
            </w:r>
            <w:r w:rsidR="002F2BDE" w:rsidRPr="009860E5">
              <w:rPr>
                <w:rFonts w:ascii="Times New Roman" w:hAnsi="Times New Roman" w:cs="Times New Roman"/>
                <w:sz w:val="24"/>
                <w:szCs w:val="24"/>
              </w:rPr>
              <w:t>. (Nurodyti rungtynių skaičių) (Nurodyti planuojamus kolektyvus ar atlikėjus).</w:t>
            </w:r>
          </w:p>
        </w:tc>
        <w:tc>
          <w:tcPr>
            <w:tcW w:w="844" w:type="dxa"/>
            <w:vAlign w:val="center"/>
          </w:tcPr>
          <w:p w:rsidR="00CE5A28" w:rsidRPr="009860E5" w:rsidRDefault="00CE5A28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28" w:rsidRPr="009860E5" w:rsidTr="009860E5">
        <w:tc>
          <w:tcPr>
            <w:tcW w:w="8784" w:type="dxa"/>
          </w:tcPr>
          <w:p w:rsidR="00CE5A28" w:rsidRPr="009860E5" w:rsidRDefault="002F2BDE" w:rsidP="00B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Kokybišką Lietuvos Respublikos himno grojimą prieš kiekvienas Finalinio ketverto rungtynes.</w:t>
            </w:r>
          </w:p>
        </w:tc>
        <w:tc>
          <w:tcPr>
            <w:tcW w:w="844" w:type="dxa"/>
            <w:vAlign w:val="center"/>
          </w:tcPr>
          <w:p w:rsidR="00CE5A28" w:rsidRPr="009860E5" w:rsidRDefault="00CE5A28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DE" w:rsidRPr="009860E5" w:rsidTr="009860E5">
        <w:tc>
          <w:tcPr>
            <w:tcW w:w="8784" w:type="dxa"/>
          </w:tcPr>
          <w:p w:rsidR="002F2BDE" w:rsidRPr="009860E5" w:rsidRDefault="002F2BDE" w:rsidP="002F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Muzikos fono paleidimą ir susistabdymą priklausomai nuo rungtynių eigos.</w:t>
            </w:r>
            <w:r w:rsidR="00E6181B" w:rsidRPr="009860E5">
              <w:rPr>
                <w:rFonts w:ascii="Times New Roman" w:hAnsi="Times New Roman" w:cs="Times New Roman"/>
                <w:sz w:val="24"/>
                <w:szCs w:val="24"/>
              </w:rPr>
              <w:t xml:space="preserve"> (Apšilimas, ilgoji pertrauka, minutės pertraukėlės).</w:t>
            </w:r>
          </w:p>
        </w:tc>
        <w:tc>
          <w:tcPr>
            <w:tcW w:w="844" w:type="dxa"/>
            <w:vAlign w:val="center"/>
          </w:tcPr>
          <w:p w:rsidR="002F2BDE" w:rsidRPr="009860E5" w:rsidRDefault="002F2BDE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E5" w:rsidRPr="009860E5" w:rsidTr="009860E5">
        <w:tc>
          <w:tcPr>
            <w:tcW w:w="8784" w:type="dxa"/>
          </w:tcPr>
          <w:p w:rsidR="009860E5" w:rsidRPr="009860E5" w:rsidRDefault="009860E5" w:rsidP="002F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b/>
                <w:sz w:val="24"/>
                <w:szCs w:val="24"/>
              </w:rPr>
              <w:t>Kiti reikalavimai</w:t>
            </w:r>
          </w:p>
        </w:tc>
        <w:tc>
          <w:tcPr>
            <w:tcW w:w="844" w:type="dxa"/>
            <w:vAlign w:val="center"/>
          </w:tcPr>
          <w:p w:rsidR="009860E5" w:rsidRPr="009860E5" w:rsidRDefault="009860E5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E5" w:rsidRPr="009860E5" w:rsidTr="009860E5">
        <w:tc>
          <w:tcPr>
            <w:tcW w:w="8784" w:type="dxa"/>
          </w:tcPr>
          <w:p w:rsidR="009860E5" w:rsidRPr="009860E5" w:rsidRDefault="009860E5" w:rsidP="002F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E5">
              <w:rPr>
                <w:rFonts w:ascii="Times New Roman" w:hAnsi="Times New Roman" w:cs="Times New Roman"/>
                <w:sz w:val="24"/>
                <w:szCs w:val="24"/>
              </w:rPr>
              <w:t>Nebus pažeistos taisyklės dėl alkoholinių gėrimų vartojimo viešose vietose ir sporto renginiuose</w:t>
            </w:r>
          </w:p>
        </w:tc>
        <w:tc>
          <w:tcPr>
            <w:tcW w:w="844" w:type="dxa"/>
            <w:vAlign w:val="center"/>
          </w:tcPr>
          <w:p w:rsidR="009860E5" w:rsidRPr="009860E5" w:rsidRDefault="009860E5" w:rsidP="002F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CDF" w:rsidRPr="009860E5" w:rsidRDefault="00807CDF" w:rsidP="007C0ED6">
      <w:pPr>
        <w:rPr>
          <w:rFonts w:ascii="Times New Roman" w:hAnsi="Times New Roman" w:cs="Times New Roman"/>
          <w:sz w:val="24"/>
          <w:szCs w:val="24"/>
        </w:rPr>
      </w:pPr>
    </w:p>
    <w:p w:rsidR="00807CDF" w:rsidRPr="009860E5" w:rsidRDefault="00645B1E" w:rsidP="007C0ED6">
      <w:pPr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b/>
          <w:sz w:val="24"/>
          <w:szCs w:val="24"/>
        </w:rPr>
        <w:t>Pastaba</w:t>
      </w:r>
      <w:r w:rsidR="009860E5" w:rsidRPr="009860E5">
        <w:rPr>
          <w:rFonts w:ascii="Times New Roman" w:hAnsi="Times New Roman" w:cs="Times New Roman"/>
          <w:sz w:val="24"/>
          <w:szCs w:val="24"/>
        </w:rPr>
        <w:t xml:space="preserve">: </w:t>
      </w:r>
      <w:r w:rsidR="009860E5" w:rsidRPr="009860E5">
        <w:rPr>
          <w:rFonts w:ascii="Times New Roman" w:hAnsi="Times New Roman" w:cs="Times New Roman"/>
          <w:b/>
          <w:i/>
          <w:sz w:val="24"/>
          <w:szCs w:val="24"/>
          <w:u w:val="single"/>
        </w:rPr>
        <w:t>Š</w:t>
      </w:r>
      <w:r w:rsidRPr="009860E5">
        <w:rPr>
          <w:rFonts w:ascii="Times New Roman" w:hAnsi="Times New Roman" w:cs="Times New Roman"/>
          <w:b/>
          <w:i/>
          <w:sz w:val="24"/>
          <w:szCs w:val="24"/>
          <w:u w:val="single"/>
        </w:rPr>
        <w:t>i paraiška galioja</w:t>
      </w:r>
      <w:r w:rsidR="00E6181B" w:rsidRPr="009860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tik tuo atveju</w:t>
      </w:r>
      <w:r w:rsidRPr="009860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jei mūsų krepšinio mokyklos komanda pateks į nurodyto čempionato finalinio ketverto turnyrą</w:t>
      </w:r>
      <w:r w:rsidRPr="009860E5">
        <w:rPr>
          <w:rFonts w:ascii="Times New Roman" w:hAnsi="Times New Roman" w:cs="Times New Roman"/>
          <w:sz w:val="24"/>
          <w:szCs w:val="24"/>
        </w:rPr>
        <w:t>.</w:t>
      </w:r>
    </w:p>
    <w:p w:rsidR="00807CDF" w:rsidRPr="009860E5" w:rsidRDefault="00807CDF" w:rsidP="007C0ED6">
      <w:pPr>
        <w:rPr>
          <w:rFonts w:ascii="Times New Roman" w:hAnsi="Times New Roman" w:cs="Times New Roman"/>
          <w:sz w:val="24"/>
          <w:szCs w:val="24"/>
        </w:rPr>
      </w:pPr>
    </w:p>
    <w:p w:rsidR="00807CDF" w:rsidRPr="009860E5" w:rsidRDefault="00E6181B" w:rsidP="007C0ED6">
      <w:pPr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>Krepšinio mokyklos pavadinimas</w:t>
      </w:r>
    </w:p>
    <w:p w:rsidR="00E6181B" w:rsidRPr="009860E5" w:rsidRDefault="00E6181B" w:rsidP="007C0ED6">
      <w:pPr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>Direktorius</w:t>
      </w:r>
      <w:r w:rsidRPr="009860E5">
        <w:rPr>
          <w:rFonts w:ascii="Times New Roman" w:hAnsi="Times New Roman" w:cs="Times New Roman"/>
          <w:sz w:val="24"/>
          <w:szCs w:val="24"/>
        </w:rPr>
        <w:tab/>
      </w:r>
      <w:r w:rsidRPr="009860E5">
        <w:rPr>
          <w:rFonts w:ascii="Times New Roman" w:hAnsi="Times New Roman" w:cs="Times New Roman"/>
          <w:sz w:val="24"/>
          <w:szCs w:val="24"/>
        </w:rPr>
        <w:tab/>
      </w:r>
      <w:r w:rsidRPr="009860E5">
        <w:rPr>
          <w:rFonts w:ascii="Times New Roman" w:hAnsi="Times New Roman" w:cs="Times New Roman"/>
          <w:sz w:val="24"/>
          <w:szCs w:val="24"/>
        </w:rPr>
        <w:tab/>
      </w:r>
      <w:r w:rsidRPr="009860E5">
        <w:rPr>
          <w:rFonts w:ascii="Times New Roman" w:hAnsi="Times New Roman" w:cs="Times New Roman"/>
          <w:sz w:val="24"/>
          <w:szCs w:val="24"/>
        </w:rPr>
        <w:tab/>
      </w:r>
      <w:r w:rsidRPr="009860E5">
        <w:rPr>
          <w:rFonts w:ascii="Times New Roman" w:hAnsi="Times New Roman" w:cs="Times New Roman"/>
          <w:sz w:val="24"/>
          <w:szCs w:val="24"/>
        </w:rPr>
        <w:tab/>
        <w:t>Vardas, Pavardė</w:t>
      </w:r>
    </w:p>
    <w:p w:rsidR="00E6181B" w:rsidRPr="009860E5" w:rsidRDefault="00E6181B" w:rsidP="00E61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</w:t>
      </w:r>
    </w:p>
    <w:p w:rsidR="009860E5" w:rsidRPr="009860E5" w:rsidRDefault="009860E5">
      <w:pPr>
        <w:rPr>
          <w:rFonts w:ascii="Times New Roman" w:hAnsi="Times New Roman" w:cs="Times New Roman"/>
          <w:sz w:val="24"/>
          <w:szCs w:val="24"/>
        </w:rPr>
      </w:pPr>
      <w:r w:rsidRPr="009860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181B" w:rsidRPr="00986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Parašas</w:t>
      </w:r>
    </w:p>
    <w:sectPr w:rsidR="009860E5" w:rsidRPr="009860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2467"/>
    <w:multiLevelType w:val="hybridMultilevel"/>
    <w:tmpl w:val="1D524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0D"/>
    <w:rsid w:val="001D1D0D"/>
    <w:rsid w:val="002F2BDE"/>
    <w:rsid w:val="004552AE"/>
    <w:rsid w:val="004C59BC"/>
    <w:rsid w:val="00645B1E"/>
    <w:rsid w:val="00751D0C"/>
    <w:rsid w:val="007C0ED6"/>
    <w:rsid w:val="00807CDF"/>
    <w:rsid w:val="00864173"/>
    <w:rsid w:val="009860E5"/>
    <w:rsid w:val="00AD400E"/>
    <w:rsid w:val="00B83E89"/>
    <w:rsid w:val="00C46934"/>
    <w:rsid w:val="00CE5A28"/>
    <w:rsid w:val="00E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203D"/>
  <w15:chartTrackingRefBased/>
  <w15:docId w15:val="{E280CC9D-D88A-47D8-B84E-8F4E9323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D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Martynas</cp:lastModifiedBy>
  <cp:revision>3</cp:revision>
  <dcterms:created xsi:type="dcterms:W3CDTF">2016-08-18T08:08:00Z</dcterms:created>
  <dcterms:modified xsi:type="dcterms:W3CDTF">2016-08-19T11:09:00Z</dcterms:modified>
</cp:coreProperties>
</file>